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天津市西青区南运河杨柳青镇项目一区</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根据《水利部关于加强事中事后监管规范生产建设项目水土保持设施自主验收的通知》（水保〔2017〕365号），2020年1</w:t>
      </w:r>
      <w:r>
        <w:rPr>
          <w:rFonts w:hint="eastAsia" w:asciiTheme="minorEastAsia" w:hAnsiTheme="minorEastAsia" w:eastAsiaTheme="minorEastAsia"/>
          <w:sz w:val="28"/>
          <w:szCs w:val="28"/>
          <w:lang w:val="en-US" w:eastAsia="zh-CN"/>
        </w:rPr>
        <w:t>0</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16</w:t>
      </w:r>
      <w:r>
        <w:rPr>
          <w:rFonts w:hint="eastAsia" w:asciiTheme="minorEastAsia" w:hAnsiTheme="minorEastAsia" w:eastAsiaTheme="minorEastAsia"/>
          <w:sz w:val="28"/>
          <w:szCs w:val="28"/>
        </w:rPr>
        <w:t>日，天津市西青区水利工程建设管理中心主持召开</w:t>
      </w:r>
      <w:r>
        <w:rPr>
          <w:rFonts w:hint="eastAsia" w:asciiTheme="minorEastAsia" w:hAnsiTheme="minorEastAsia" w:eastAsiaTheme="minorEastAsia"/>
          <w:sz w:val="28"/>
          <w:szCs w:val="28"/>
          <w:lang w:eastAsia="zh-CN"/>
        </w:rPr>
        <w:t>天津市西青区南运河杨柳青镇项目一区</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天津市西青区南运河杨柳青镇项目一区</w:t>
      </w:r>
      <w:r>
        <w:rPr>
          <w:rFonts w:asciiTheme="minorEastAsia" w:hAnsiTheme="minorEastAsia" w:eastAsiaTheme="minorEastAsia"/>
          <w:sz w:val="28"/>
          <w:szCs w:val="28"/>
        </w:rPr>
        <w:t xml:space="preserve"> </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天津市西青区南运河杨柳青镇项目一区</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天津市西青区南运河杨柳青镇项目一区</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微软雅黑">
    <w:panose1 w:val="020B0503020204020204"/>
    <w:charset w:val="86"/>
    <w:family w:val="roman"/>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76854F2"/>
    <w:rsid w:val="0AB7176F"/>
    <w:rsid w:val="0D0E3C9B"/>
    <w:rsid w:val="72DA33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 w:type="paragraph" w:customStyle="1" w:styleId="8">
    <w:name w:val="Defaul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2</TotalTime>
  <ScaleCrop>false</ScaleCrop>
  <LinksUpToDate>false</LinksUpToDate>
  <CharactersWithSpaces>382</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2020-11-06T08:01:12Z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