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天津市宁河区 2016 年廉庄乡任千户二道深渠、廉庄乡二扬排干、廉庄乡岳道口村东排干清淤整治工程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6</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25</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天津市宁河区水利工程建设管理中心</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天津市宁河区 2016 年廉庄乡任千户二道深渠、廉庄乡二</w:t>
      </w:r>
      <w:bookmarkStart w:id="0" w:name="_GoBack"/>
      <w:bookmarkEnd w:id="0"/>
      <w:r>
        <w:rPr>
          <w:rFonts w:hint="eastAsia" w:asciiTheme="minorEastAsia" w:hAnsiTheme="minorEastAsia" w:eastAsiaTheme="minorEastAsia"/>
          <w:sz w:val="28"/>
          <w:szCs w:val="28"/>
          <w:lang w:eastAsia="zh-CN"/>
        </w:rPr>
        <w:t>扬排干、廉庄乡岳道口村东排干清淤整治工程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天津市宁河区 2016 年廉庄乡任千户二道深渠、廉庄乡二扬排干、廉庄乡岳道口村东排干清淤整治工程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天津市宁河区 2016 年廉庄乡任千户二道深渠、廉庄乡二扬排干、廉庄乡岳道口村东排干清淤整治工程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天津市宁河区 2016 年廉庄乡任千户二道深渠、廉庄乡二扬排干、廉庄乡岳道口村东排干清淤整治工程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5AD24A4"/>
    <w:rsid w:val="38B874F2"/>
    <w:rsid w:val="3E887766"/>
    <w:rsid w:val="429D4A23"/>
    <w:rsid w:val="4D581DFD"/>
    <w:rsid w:val="500758CD"/>
    <w:rsid w:val="57BB60E0"/>
    <w:rsid w:val="5CDF42A3"/>
    <w:rsid w:val="5D7A5814"/>
    <w:rsid w:val="717A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40</TotalTime>
  <ScaleCrop>false</ScaleCrop>
  <LinksUpToDate>false</LinksUpToDate>
  <CharactersWithSpaces>382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2021-08-05T06:48:11Z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8D8967FCC9514607893E44B864C20D7E</vt:lpwstr>
  </property>
</Properties>
</file>