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中新天津生态城</w:t>
      </w:r>
      <w:r>
        <w:rPr>
          <w:rFonts w:hint="eastAsia" w:ascii="宋体" w:hAnsi="宋体" w:eastAsia="宋体" w:cs="宋体"/>
          <w:b/>
          <w:bCs/>
          <w:color w:val="000000"/>
          <w:kern w:val="0"/>
          <w:sz w:val="30"/>
          <w:szCs w:val="30"/>
          <w:lang w:val="en-US" w:eastAsia="zh-CN" w:bidi="ar"/>
        </w:rPr>
        <w:t>57C</w:t>
      </w:r>
      <w:r>
        <w:rPr>
          <w:rFonts w:hint="eastAsia" w:ascii="宋体" w:hAnsi="宋体" w:eastAsia="宋体" w:cs="宋体"/>
          <w:b/>
          <w:bCs/>
          <w:color w:val="000000"/>
          <w:kern w:val="0"/>
          <w:sz w:val="30"/>
          <w:szCs w:val="30"/>
          <w:lang w:val="en-US" w:eastAsia="zh-CN" w:bidi="ar"/>
        </w:rPr>
        <w:t>一期住宅地块</w:t>
      </w:r>
    </w:p>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2023年11月27日，联发集团天津联和房地产开发有限公司</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中新天津生态城57C一期住宅地块</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中新天津生态城57C一期住宅地块</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中新天津生态城57C一期住宅地块</w:t>
      </w:r>
      <w:r>
        <w:rPr>
          <w:rStyle w:val="4"/>
          <w:rFonts w:hint="eastAsia" w:ascii="宋体" w:hAnsi="宋体" w:eastAsia="宋体" w:cs="宋体"/>
          <w:i w:val="0"/>
          <w:iCs w:val="0"/>
          <w:caps w:val="0"/>
          <w:color w:val="000000"/>
          <w:spacing w:val="0"/>
          <w:sz w:val="24"/>
          <w:szCs w:val="24"/>
          <w:u w:val="none"/>
          <w:shd w:val="clear" w:fill="FFFFFF"/>
        </w:rPr>
        <w:t>水土保持设施验收报告》</w:t>
      </w:r>
      <w:bookmarkStart w:id="0" w:name="_GoBack"/>
      <w:bookmarkEnd w:id="0"/>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中新天津生态城57C一期住宅地块</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65296D3C"/>
    <w:rsid w:val="6BE43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2023-12-01T03:27:23Z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D8DF9B2DF6D24B9A988ECDDE23F18773_11</vt:lpwstr>
  </property>
</Properties>
</file>